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9C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433500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3C5D6B" w:rsidRPr="003C5D6B">
        <w:rPr>
          <w:sz w:val="28"/>
          <w:szCs w:val="26"/>
        </w:rPr>
        <w:t xml:space="preserve"> </w:t>
      </w:r>
      <w:r w:rsidR="003C5D6B" w:rsidRPr="003C5D6B">
        <w:rPr>
          <w:rFonts w:ascii="Times New Roman" w:hAnsi="Times New Roman" w:cs="Times New Roman"/>
          <w:b/>
          <w:sz w:val="24"/>
          <w:szCs w:val="26"/>
        </w:rPr>
        <w:t xml:space="preserve">и </w:t>
      </w:r>
      <w:r w:rsidR="003C5D6B" w:rsidRPr="003C5D6B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иммунологических лекарственных препаратов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0A55" w:rsidRPr="009C0F5D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860A55" w:rsidRPr="009C0F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27E" w:rsidRPr="00461ADD" w:rsidRDefault="00B4427E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1ADD" w:rsidRDefault="00461ADD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FF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марта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C5D6B" w:rsidRDefault="003C5D6B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Pr="003C5D6B" w:rsidRDefault="00694452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1C11B8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5D6B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1C11B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3C5D6B" w:rsidRPr="003C5D6B">
        <w:rPr>
          <w:sz w:val="28"/>
          <w:szCs w:val="26"/>
        </w:rPr>
        <w:t xml:space="preserve"> </w:t>
      </w:r>
      <w:r w:rsidR="003C5D6B" w:rsidRPr="003C5D6B">
        <w:rPr>
          <w:rFonts w:ascii="Times New Roman" w:hAnsi="Times New Roman" w:cs="Times New Roman"/>
          <w:sz w:val="24"/>
          <w:szCs w:val="26"/>
        </w:rPr>
        <w:t xml:space="preserve">и </w:t>
      </w:r>
      <w:r w:rsidR="003C5D6B" w:rsidRPr="003C5D6B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иммунологических лекарственных препаратов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3C5D6B" w:rsidRPr="00F16354" w:rsidTr="00F43DE0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0B1DA2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B1DA2" w:rsidRPr="00F16354" w:rsidTr="000B1DA2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0B1DA2" w:rsidRPr="003F185A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27 500,00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BA2A60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0B1DA2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97 825,00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BA2A60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2224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22243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2224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E22243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20 040,00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BA2A60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3F185A">
              <w:rPr>
                <w:rFonts w:ascii="Times New Roman" w:hAnsi="Times New Roman"/>
                <w:color w:val="000000"/>
                <w:sz w:val="20"/>
              </w:rPr>
              <w:t>Платифиллин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AD3E70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>Раствор для инъекции 0,2 %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 1мл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353 500,00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BA2A60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сироп, 15 мг, 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116358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290 710,00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ингаляции, 7,5 мг, 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116358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67 004,00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116358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38 100,00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63 443,50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BA2A60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22243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глазные капли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0,5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Прогестерон,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125 381,20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Хлорамфеникол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Левомеколь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азь 10% 25гр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AD3E7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AD3E70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Фитоменадион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0B1DA2" w:rsidRPr="00BA2A60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амри-К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D1332C">
              <w:rPr>
                <w:rStyle w:val="s0"/>
                <w:sz w:val="20"/>
                <w:szCs w:val="20"/>
              </w:rPr>
              <w:t>№</w:t>
            </w:r>
            <w:r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Pr="00D1332C">
              <w:rPr>
                <w:rStyle w:val="s0"/>
                <w:sz w:val="20"/>
                <w:szCs w:val="20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39 822,00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2224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75EC1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Атропин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75EC1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1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5C1DEB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5B4AD9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31 200,00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D36C0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653 000,00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9 034,00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12 246,00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DA2" w:rsidRPr="005B4AD9" w:rsidRDefault="000B1DA2" w:rsidP="000B1DA2">
            <w:pPr>
              <w:spacing w:after="0"/>
              <w:ind w:left="-5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Линимент Бальзамический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DA2" w:rsidRPr="005B4AD9" w:rsidRDefault="000B1DA2" w:rsidP="000B1D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D9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5B4AD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B4AD9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AD3E7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AD3E70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8 988,00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127 460,00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75 000,00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0B1DA2" w:rsidRPr="00F16354" w:rsidTr="000B1DA2">
        <w:trPr>
          <w:trHeight w:val="1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15 480,20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1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22243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128 650,00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Глицерин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 25 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7 500,00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Оксибат натрия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20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3 288,80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Уголь активированный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500 мг,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87 000,00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37 951,20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Фурациллин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наружного применения 1х5000, </w:t>
            </w:r>
          </w:p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180 000,00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A40CD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20 011,20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Декстран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88532C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19 482,30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FF67F7" w:rsidRDefault="000B1DA2" w:rsidP="000B1DA2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FF67F7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FF67F7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78 000,00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инъекции </w:t>
            </w:r>
          </w:p>
          <w:p w:rsidR="000B1DA2" w:rsidRPr="00FF67F7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71 092,00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FF67F7" w:rsidRDefault="000B1DA2" w:rsidP="000B1DA2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FF67F7">
              <w:rPr>
                <w:rFonts w:ascii="Times New Roman" w:hAnsi="Times New Roman"/>
                <w:color w:val="000000"/>
                <w:sz w:val="20"/>
              </w:rPr>
              <w:t>Инфезол</w:t>
            </w:r>
            <w:proofErr w:type="spellEnd"/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40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FF67F7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Раствор для </w:t>
            </w:r>
            <w:proofErr w:type="spellStart"/>
            <w:r w:rsidRPr="00FF67F7">
              <w:rPr>
                <w:rFonts w:ascii="Times New Roman" w:hAnsi="Times New Roman"/>
                <w:color w:val="000000"/>
                <w:sz w:val="20"/>
              </w:rPr>
              <w:t>инфузии</w:t>
            </w:r>
            <w:proofErr w:type="spellEnd"/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250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130 160,00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A2A60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Урапидил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Тахибен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для инъекции </w:t>
            </w:r>
          </w:p>
          <w:p w:rsidR="000B1DA2" w:rsidRPr="00E526FF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E526FF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62 448,00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116358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783498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783498" w:rsidRDefault="000B1DA2" w:rsidP="000B1DA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783498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116358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437 200,00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Натрия ацетат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натрия ацетат 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 калия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хлорид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 хлорид 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раствор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114 190,00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Натрия ацетат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натрия ацетат 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 калия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хлорид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 хлорид 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раствор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93 950,00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4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Натрия ацетат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натрия ацетат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 хлорид 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200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783498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117 155,00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Натрия ацетат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натрия ацетат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натри хлорид 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783498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74 076,00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4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исоль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19 464,00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19 295,00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D36C0" w:rsidRDefault="000B1DA2" w:rsidP="000B1DA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D36C0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D36C0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0A2EB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99 867,00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46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15 000,00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0B1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1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0B1D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15 000,00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15 000,00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945FBF" w:rsidRDefault="000B1DA2" w:rsidP="000B1DA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Сыворотка против яда паука каракурта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945FBF" w:rsidRDefault="000B1DA2" w:rsidP="000B1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 мг, раствор для инъекции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9191C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9191C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320 000,00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945FBF" w:rsidRDefault="000B1DA2" w:rsidP="000B1DA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 w:rsidRPr="00B73132">
              <w:rPr>
                <w:rFonts w:ascii="Times New Roman" w:hAnsi="Times New Roman"/>
                <w:color w:val="000000"/>
                <w:sz w:val="20"/>
              </w:rPr>
              <w:t>Сыворотка против яда гадюки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945FBF" w:rsidRDefault="000B1DA2" w:rsidP="000B1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инъекции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9191C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120 000,00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DA2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B59E6" w:rsidRDefault="000B1DA2" w:rsidP="000B1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EF3D6F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4 512 944,40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461ADD" w:rsidRDefault="00461ADD" w:rsidP="00461AD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69" w:type="dxa"/>
        <w:tblInd w:w="-34" w:type="dxa"/>
        <w:tblLook w:val="04A0" w:firstRow="1" w:lastRow="0" w:firstColumn="1" w:lastColumn="0" w:noHBand="0" w:noVBand="1"/>
      </w:tblPr>
      <w:tblGrid>
        <w:gridCol w:w="476"/>
        <w:gridCol w:w="1798"/>
        <w:gridCol w:w="2670"/>
        <w:gridCol w:w="1081"/>
        <w:gridCol w:w="850"/>
        <w:gridCol w:w="1301"/>
        <w:gridCol w:w="1793"/>
      </w:tblGrid>
      <w:tr w:rsidR="009E3E75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3B59E6" w:rsidRDefault="009E3E75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E75" w:rsidRPr="00FE3016" w:rsidRDefault="009E3E75" w:rsidP="00914F17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E3E75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E3E75" w:rsidRPr="003B59E6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E3E75" w:rsidRPr="0049191C" w:rsidTr="00914F17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E75" w:rsidRPr="00B14E36" w:rsidRDefault="000B1DA2" w:rsidP="000B1D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ТОО «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КамКор 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Company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LTD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»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Республика Казахстан, город 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Актобе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ул.Карасай батыра, 13, квартир 8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                        дата и время предоставления ценового предложения: 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02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3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21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года, 1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55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часов;</w:t>
            </w:r>
          </w:p>
        </w:tc>
      </w:tr>
      <w:tr w:rsidR="000B1DA2" w:rsidRPr="0049191C" w:rsidTr="000B1DA2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B7313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3F185A">
              <w:rPr>
                <w:rFonts w:ascii="Times New Roman" w:hAnsi="Times New Roman"/>
                <w:color w:val="000000"/>
                <w:sz w:val="20"/>
              </w:rPr>
              <w:t>Платифиллин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AD3E70" w:rsidRDefault="000B1DA2" w:rsidP="000B1DA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>Раствор для инъекции 0,2 %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 1мл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10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F185A" w:rsidRDefault="000B1DA2" w:rsidP="000B1DA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F185A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689,00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C1745B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344 500,00</w:t>
            </w:r>
          </w:p>
        </w:tc>
      </w:tr>
      <w:tr w:rsidR="000B1DA2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9191C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3B59E6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344 500,00</w:t>
            </w:r>
          </w:p>
        </w:tc>
      </w:tr>
      <w:tr w:rsidR="000B1DA2" w:rsidRPr="0049191C" w:rsidTr="00073ACD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1DA2" w:rsidRPr="00073ACD" w:rsidRDefault="000B1DA2" w:rsidP="000B1D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Фармация</w:t>
            </w:r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город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Актобе</w:t>
            </w:r>
            <w:proofErr w:type="spellEnd"/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312 стрелковой дивизии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8,                         д</w:t>
            </w:r>
            <w:r w:rsidRPr="006E4A37">
              <w:rPr>
                <w:rFonts w:ascii="Times New Roman" w:hAnsi="Times New Roman" w:cs="Times New Roman"/>
                <w:b/>
                <w:sz w:val="20"/>
              </w:rPr>
              <w:t>ата и время предоставления ценового предложения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04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.0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3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.20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21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года, 1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6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30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 xml:space="preserve"> часов;</w:t>
            </w:r>
          </w:p>
        </w:tc>
      </w:tr>
      <w:tr w:rsidR="000B1DA2" w:rsidRPr="0049191C" w:rsidTr="000B1DA2">
        <w:trPr>
          <w:trHeight w:val="29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0B1DA2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1 200,00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0B1DA2" w:rsidRPr="0049191C" w:rsidTr="000B1DA2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1 200,00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0B1DA2" w:rsidRPr="0049191C" w:rsidTr="000B1DA2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1 400,00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0B1DA2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49191C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3B59E6" w:rsidRDefault="000B1DA2" w:rsidP="000B1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38 000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B1DA2" w:rsidRPr="0049191C" w:rsidTr="006F3CAA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1DA2" w:rsidRPr="006F3CAA" w:rsidRDefault="000B1DA2" w:rsidP="000B1D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МедФорд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Актобе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ул.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 С.Баишева, 7А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 д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ата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и время предоставления ценового предложения: 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05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08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09-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50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</w:t>
            </w:r>
            <w:r w:rsidRPr="006F3CAA">
              <w:rPr>
                <w:rFonts w:ascii="Times New Roman" w:hAnsi="Times New Roman" w:cs="Times New Roman"/>
                <w:b/>
                <w:sz w:val="20"/>
              </w:rPr>
              <w:t>;</w:t>
            </w:r>
          </w:p>
        </w:tc>
      </w:tr>
      <w:tr w:rsidR="000B1DA2" w:rsidRPr="0049191C" w:rsidTr="000B1DA2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А, раствор для определения группы крови, 10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0B1DA2" w:rsidRDefault="000B1DA2" w:rsidP="00226744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226744">
              <w:rPr>
                <w:rFonts w:ascii="Times New Roman" w:hAnsi="Times New Roman"/>
                <w:sz w:val="20"/>
                <w:lang w:val="kk-KZ"/>
              </w:rPr>
              <w:t xml:space="preserve"> 5</w:t>
            </w:r>
            <w:r>
              <w:rPr>
                <w:rFonts w:ascii="Times New Roman" w:hAnsi="Times New Roman"/>
                <w:sz w:val="20"/>
                <w:lang w:val="kk-KZ"/>
              </w:rPr>
              <w:t>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AD3E70" w:rsidRDefault="000B1DA2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1</w:t>
            </w:r>
            <w:r w:rsidR="00226744">
              <w:rPr>
                <w:rFonts w:ascii="Times New Roman" w:hAnsi="Times New Roman"/>
                <w:sz w:val="20"/>
                <w:lang w:val="kk-KZ"/>
              </w:rPr>
              <w:t>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0B1DA2" w:rsidRPr="0049191C" w:rsidTr="000B1DA2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В, раствор для определения группы крови, 10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226744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1 5</w:t>
            </w:r>
            <w:r w:rsidR="000B1DA2">
              <w:rPr>
                <w:rFonts w:ascii="Times New Roman" w:hAnsi="Times New Roman"/>
                <w:sz w:val="20"/>
                <w:lang w:val="kk-KZ"/>
              </w:rPr>
              <w:t>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AD3E70" w:rsidRDefault="00226744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0B1DA2"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0B1DA2" w:rsidRPr="0049191C" w:rsidTr="000B1DA2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Цоликлон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типа Д, супер для определения резус фактора, 5 мл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4226A3" w:rsidRDefault="000B1DA2" w:rsidP="000B1DA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4226A3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AD3E70" w:rsidRDefault="00226744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1 5</w:t>
            </w:r>
            <w:r w:rsidR="000B1DA2">
              <w:rPr>
                <w:rFonts w:ascii="Times New Roman" w:hAnsi="Times New Roman"/>
                <w:sz w:val="20"/>
                <w:lang w:val="kk-KZ"/>
              </w:rPr>
              <w:t>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AD3E70" w:rsidRDefault="00226744" w:rsidP="000B1DA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0B1DA2"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0B1DA2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B59E6" w:rsidRDefault="000B1DA2" w:rsidP="000B1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DA2" w:rsidRPr="003B59E6" w:rsidRDefault="000B1DA2" w:rsidP="000B1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DA2" w:rsidRPr="003B59E6" w:rsidRDefault="00226744" w:rsidP="00226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45 0</w:t>
            </w:r>
            <w:r w:rsidR="000B1D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00,0</w:t>
            </w:r>
            <w:r w:rsidR="000B1DA2"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</w:tr>
    </w:tbl>
    <w:p w:rsidR="00226744" w:rsidRPr="00226744" w:rsidRDefault="00226744" w:rsidP="0022674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Отклоненные ценовые предложения потенциальных поставщиков – не было;</w:t>
      </w:r>
    </w:p>
    <w:p w:rsidR="004D2B21" w:rsidRPr="003602FB" w:rsidRDefault="004D2B21" w:rsidP="004D2B21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461ADD" w:rsidRPr="006A33A2" w:rsidRDefault="00461ADD" w:rsidP="002A388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="00092A1A" w:rsidRPr="00092A1A">
        <w:rPr>
          <w:rFonts w:ascii="Times New Roman" w:hAnsi="Times New Roman" w:cs="Times New Roman"/>
          <w:sz w:val="24"/>
          <w:szCs w:val="24"/>
        </w:rPr>
        <w:t>лекарственны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092A1A" w:rsidRPr="00092A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ам</w:t>
      </w:r>
      <w:r w:rsidR="00092A1A" w:rsidRPr="00092A1A">
        <w:rPr>
          <w:sz w:val="28"/>
          <w:szCs w:val="26"/>
        </w:rPr>
        <w:t xml:space="preserve"> </w:t>
      </w:r>
      <w:r w:rsidR="00092A1A" w:rsidRPr="00092A1A">
        <w:rPr>
          <w:rFonts w:ascii="Times New Roman" w:hAnsi="Times New Roman" w:cs="Times New Roman"/>
          <w:sz w:val="24"/>
          <w:szCs w:val="26"/>
        </w:rPr>
        <w:t xml:space="preserve">и </w:t>
      </w:r>
      <w:proofErr w:type="gramStart"/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м</w:t>
      </w:r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лекарственны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м</w:t>
      </w:r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препарат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ам</w:t>
      </w:r>
      <w:proofErr w:type="gramEnd"/>
      <w:r w:rsidR="00092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092A1A" w:rsidRPr="00860F55" w:rsidRDefault="00226744" w:rsidP="002A388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КамКор 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Company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LTD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proofErr w:type="spellStart"/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ул.Карасай батыра, 13, квартир 8</w:t>
      </w:r>
      <w:r w:rsid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092A1A" w:rsidRPr="00860F55" w:rsidRDefault="00092A1A" w:rsidP="002A388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B3F94" w:rsidRPr="00226744" w:rsidRDefault="00226744" w:rsidP="00226744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EB3F94"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461ADD" w:rsidRPr="0079314A" w:rsidRDefault="00461ADD" w:rsidP="00461AD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lastRenderedPageBreak/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860F55" w:rsidRPr="00092A1A">
        <w:rPr>
          <w:rFonts w:ascii="Times New Roman" w:hAnsi="Times New Roman" w:cs="Times New Roman"/>
          <w:sz w:val="24"/>
          <w:szCs w:val="24"/>
        </w:rPr>
        <w:t>лекарственны</w:t>
      </w:r>
      <w:r w:rsidR="00860F55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860F55" w:rsidRPr="00092A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60F55" w:rsidRPr="00092A1A">
        <w:rPr>
          <w:sz w:val="28"/>
          <w:szCs w:val="26"/>
        </w:rPr>
        <w:t xml:space="preserve"> </w:t>
      </w:r>
      <w:r w:rsidR="00860F55" w:rsidRPr="00092A1A">
        <w:rPr>
          <w:rFonts w:ascii="Times New Roman" w:hAnsi="Times New Roman" w:cs="Times New Roman"/>
          <w:sz w:val="24"/>
          <w:szCs w:val="26"/>
        </w:rPr>
        <w:t xml:space="preserve">и 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х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лекарственны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х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препарат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ов</w:t>
      </w:r>
      <w:r w:rsidR="00860F55"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461ADD" w:rsidRPr="0016421C" w:rsidRDefault="00461ADD" w:rsidP="0016421C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лотам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1, 2,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3, 5,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>7,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8,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10, 11, 12, 13, 14, 15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16, 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>17,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18,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19, 2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>0,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21, 22,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23, 24,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A388D">
        <w:rPr>
          <w:rFonts w:ascii="Times New Roman" w:hAnsi="Times New Roman" w:cs="Times New Roman"/>
          <w:color w:val="000000"/>
          <w:sz w:val="24"/>
          <w:szCs w:val="24"/>
          <w:lang w:val="kk-KZ"/>
        </w:rPr>
        <w:t>25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26, 27,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28,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29, 30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>, 31, 32, 33, 34,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35, 36, 37,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38,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39,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40, 41,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42, 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>43,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44, 45, 49, 50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0F154F" w:rsidRPr="00C9365C" w:rsidRDefault="000F154F" w:rsidP="000F154F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0F154F" w:rsidRPr="00226744" w:rsidRDefault="000F154F" w:rsidP="00226744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 w:rsidRP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>46, 47, 48</w:t>
      </w:r>
      <w:r w:rsidR="00AC00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="00AC00DB"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00DB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="00AC00DB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="00AC00DB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461ADD" w:rsidRPr="00C9365C" w:rsidRDefault="00461ADD" w:rsidP="00461AD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7A3847">
        <w:rPr>
          <w:rFonts w:ascii="Times New Roman" w:hAnsi="Times New Roman" w:cs="Times New Roman"/>
          <w:sz w:val="24"/>
          <w:szCs w:val="20"/>
        </w:rPr>
        <w:t xml:space="preserve">а основании </w:t>
      </w:r>
      <w:r>
        <w:rPr>
          <w:rFonts w:ascii="Times New Roman" w:hAnsi="Times New Roman" w:cs="Times New Roman"/>
          <w:sz w:val="24"/>
          <w:szCs w:val="20"/>
        </w:rPr>
        <w:t>пункта 112 Правил,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 xml:space="preserve">по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E83EDD">
        <w:rPr>
          <w:rFonts w:ascii="Times New Roman" w:hAnsi="Times New Roman" w:cs="Times New Roman"/>
          <w:color w:val="000000"/>
          <w:sz w:val="24"/>
        </w:rPr>
        <w:t>соответствии с пунктом 113 Правил</w:t>
      </w:r>
      <w:r w:rsidRPr="007A3847">
        <w:rPr>
          <w:rFonts w:ascii="Times New Roman" w:hAnsi="Times New Roman" w:cs="Times New Roman"/>
          <w:sz w:val="24"/>
          <w:szCs w:val="20"/>
        </w:rPr>
        <w:t>:</w:t>
      </w:r>
    </w:p>
    <w:p w:rsidR="00461ADD" w:rsidRPr="00226744" w:rsidRDefault="000F154F" w:rsidP="00D825D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226744"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26744"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2674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ТОО «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 xml:space="preserve">КамКор 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>Company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>LTD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»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, город </w:t>
      </w:r>
      <w:proofErr w:type="spellStart"/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Актобе</w:t>
      </w:r>
      <w:proofErr w:type="spellEnd"/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, 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ул.Карасай батыра, 13, квартир</w:t>
      </w:r>
      <w:r w:rsidR="00226744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а</w:t>
      </w:r>
      <w:r w:rsidR="00226744" w:rsidRPr="00226744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 xml:space="preserve"> 8</w:t>
      </w:r>
      <w:r w:rsidR="00461ADD"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61ADD"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1ADD" w:rsidRPr="00ED5E19" w:rsidRDefault="00226744" w:rsidP="00461ADD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bookmarkStart w:id="0" w:name="_GoBack"/>
      <w:bookmarkEnd w:id="0"/>
      <w:r w:rsidR="00461ADD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1ADD" w:rsidRPr="00ED5E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1ADD" w:rsidRPr="00ED5E19">
        <w:rPr>
          <w:rFonts w:ascii="Times New Roman" w:hAnsi="Times New Roman" w:cs="Times New Roman"/>
          <w:sz w:val="24"/>
          <w:szCs w:val="24"/>
        </w:rPr>
        <w:t>Заказчику  государственное</w:t>
      </w:r>
      <w:proofErr w:type="gramEnd"/>
      <w:r w:rsidR="00461ADD" w:rsidRPr="00ED5E19">
        <w:rPr>
          <w:rFonts w:ascii="Times New Roman" w:hAnsi="Times New Roman" w:cs="Times New Roman"/>
          <w:sz w:val="24"/>
          <w:szCs w:val="24"/>
        </w:rPr>
        <w:t xml:space="preserve"> коммунальное предприятие «</w:t>
      </w:r>
      <w:proofErr w:type="spellStart"/>
      <w:r w:rsidR="00461ADD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461ADD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4C2111" w:rsidRPr="004C2111" w:rsidRDefault="004C2111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3C4" w:rsidRPr="00BE43C4" w:rsidRDefault="00BE43C4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4C2111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6"/>
  </w:num>
  <w:num w:numId="5">
    <w:abstractNumId w:val="11"/>
  </w:num>
  <w:num w:numId="6">
    <w:abstractNumId w:val="16"/>
  </w:num>
  <w:num w:numId="7">
    <w:abstractNumId w:val="7"/>
  </w:num>
  <w:num w:numId="8">
    <w:abstractNumId w:val="12"/>
  </w:num>
  <w:num w:numId="9">
    <w:abstractNumId w:val="14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5A53"/>
    <w:rsid w:val="00043D89"/>
    <w:rsid w:val="0004606F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B5F5B"/>
    <w:rsid w:val="001C11B8"/>
    <w:rsid w:val="001D3D5B"/>
    <w:rsid w:val="00200B06"/>
    <w:rsid w:val="00204F3D"/>
    <w:rsid w:val="00226744"/>
    <w:rsid w:val="00234E15"/>
    <w:rsid w:val="002840F3"/>
    <w:rsid w:val="002959B3"/>
    <w:rsid w:val="002A388D"/>
    <w:rsid w:val="002B18E2"/>
    <w:rsid w:val="002C630D"/>
    <w:rsid w:val="0031158C"/>
    <w:rsid w:val="00334D26"/>
    <w:rsid w:val="00364127"/>
    <w:rsid w:val="003702A3"/>
    <w:rsid w:val="003C5D6B"/>
    <w:rsid w:val="003D618C"/>
    <w:rsid w:val="003D744B"/>
    <w:rsid w:val="003F6415"/>
    <w:rsid w:val="00414D74"/>
    <w:rsid w:val="00414F7C"/>
    <w:rsid w:val="00423229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508F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60A55"/>
    <w:rsid w:val="00860F55"/>
    <w:rsid w:val="00862794"/>
    <w:rsid w:val="00893F96"/>
    <w:rsid w:val="008B7024"/>
    <w:rsid w:val="008C70C2"/>
    <w:rsid w:val="00914F17"/>
    <w:rsid w:val="00924CF1"/>
    <w:rsid w:val="0093296A"/>
    <w:rsid w:val="00967656"/>
    <w:rsid w:val="00967D2B"/>
    <w:rsid w:val="009C0F5D"/>
    <w:rsid w:val="009C2602"/>
    <w:rsid w:val="009D73C6"/>
    <w:rsid w:val="009E2BAA"/>
    <w:rsid w:val="009E3E75"/>
    <w:rsid w:val="00A07991"/>
    <w:rsid w:val="00A161F6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41DE2"/>
    <w:rsid w:val="00E853E9"/>
    <w:rsid w:val="00EB3F94"/>
    <w:rsid w:val="00EE7132"/>
    <w:rsid w:val="00F25C93"/>
    <w:rsid w:val="00F43DE0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B4E6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C63B4-883D-424C-A5F0-E7F321F5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43</cp:revision>
  <cp:lastPrinted>2019-09-18T10:21:00Z</cp:lastPrinted>
  <dcterms:created xsi:type="dcterms:W3CDTF">2017-03-01T06:51:00Z</dcterms:created>
  <dcterms:modified xsi:type="dcterms:W3CDTF">2021-03-18T07:32:00Z</dcterms:modified>
</cp:coreProperties>
</file>