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Уил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21E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D69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221E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221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7D50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>030900, Республика Казахстан, Актюбинская область, Уилский район, Уилский с.о., село Уил, ул.Желтоксан,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96"/>
        <w:gridCol w:w="2996"/>
        <w:gridCol w:w="1105"/>
        <w:gridCol w:w="743"/>
        <w:gridCol w:w="1418"/>
        <w:gridCol w:w="1605"/>
      </w:tblGrid>
      <w:tr w:rsidR="00ED2889" w:rsidRPr="00ED7820" w:rsidTr="009662F3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9662F3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221EEC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2" w:right="-1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Фиксатор эндотрахеальной  трубки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№18 (тип 1) внешний диаметр 5,7 мм, толщина 1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E052DB">
            <w:pPr>
              <w:spacing w:after="0" w:line="240" w:lineRule="auto"/>
              <w:ind w:left="-60" w:right="-1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реакции микропреципитации,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3/4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735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желтый для класса Б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 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1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1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7" w:colLast="7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1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221EEC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</w:t>
            </w:r>
          </w:p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1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1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1 232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Билитест 2000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гипербилирубинемии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132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59"/>
              <w:rPr>
                <w:rFonts w:ascii="Times New Roman" w:eastAsia="Times New Roman" w:hAnsi="Times New Roman"/>
                <w:sz w:val="20"/>
              </w:rPr>
            </w:pPr>
            <w:r w:rsidRPr="00FD3EDF">
              <w:rPr>
                <w:rFonts w:ascii="Times New Roman" w:eastAsia="Times New Roman" w:hAnsi="Times New Roman"/>
                <w:sz w:val="20"/>
              </w:rPr>
              <w:t>Бинокулярные очки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с подсветкой 4,5 дюйма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Мойка хирургическая цельнотянутая 2-местная с фартуком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 AISI 304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отверстием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смеситель,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фартуком 400мм на 4 опорах с регулировкой по высоте, усиливающая обвязка, расстояние от пола до обвязки 150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борт по заднему краю высотой 40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каркас из профильной трубы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0х40мм.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каркаса, столешницы -нержавеющая сталь AISI 304 С мойкой глубиной 330 мм,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емкости из нержавеющей стали AISI 304.Ножки снабжены регуляторами высоты, что позволяет устранить неровности пола. Мойки комплектуются сифоном с переливом, нержавеющим выпуском с решеткой диаметром 90мм, диаметр выходного отверстия в сифоне 50мм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53" w:right="-1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Ультразвуковые скейлеры (Ультразвуковые аппараты для удаления зубного камня)</w:t>
            </w:r>
          </w:p>
          <w:p w:rsidR="00221EEC" w:rsidRPr="00FD3EDF" w:rsidRDefault="00221EEC" w:rsidP="00221EEC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94" w:right="-6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для обработки и очистки корневого канала и снятия зубных отложений. </w:t>
            </w:r>
          </w:p>
          <w:p w:rsidR="00221EEC" w:rsidRPr="00FD3EDF" w:rsidRDefault="00221EEC" w:rsidP="00221EEC">
            <w:pPr>
              <w:spacing w:after="0" w:line="240" w:lineRule="auto"/>
              <w:ind w:left="-94" w:right="-6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комплекте 6 насадок (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5,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1). С подсветкой</w:t>
            </w:r>
          </w:p>
          <w:p w:rsidR="00221EEC" w:rsidRPr="00FD3EDF" w:rsidRDefault="00221EEC" w:rsidP="00221EEC">
            <w:pPr>
              <w:spacing w:after="0" w:line="240" w:lineRule="auto"/>
              <w:ind w:left="-94" w:right="-6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Регулятор мощности. Автономный - свой резервуар воды.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Комплектация:</w:t>
            </w:r>
          </w:p>
          <w:p w:rsidR="00221EEC" w:rsidRPr="00FD3EDF" w:rsidRDefault="00221EEC" w:rsidP="00221EEC">
            <w:pPr>
              <w:spacing w:after="0" w:line="240" w:lineRule="auto"/>
              <w:ind w:left="-94" w:right="-6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Блок управления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Съемный автоклавируемый наконечник скалера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Шланг скалера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Ключ (1 шт.)</w:t>
            </w:r>
            <w:r w:rsidRPr="00717B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Электрический блок питания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Емкость для воды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Трубка подачи воды (1 шт.) Педаль ножная (1 шт.)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07124E" w:rsidRDefault="00221EEC" w:rsidP="00221EEC">
            <w:pPr>
              <w:spacing w:after="0" w:line="240" w:lineRule="auto"/>
              <w:ind w:left="-62"/>
              <w:rPr>
                <w:rFonts w:ascii="Times New Roman" w:eastAsia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Пролен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07124E" w:rsidRDefault="00221EEC" w:rsidP="00221EEC">
            <w:pPr>
              <w:spacing w:after="0" w:line="240" w:lineRule="auto"/>
              <w:ind w:left="-106" w:right="-124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>шовный (4/0) длина 45 см, режущая игла 16мм Prime W8007T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90FE9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D049E3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07124E" w:rsidRDefault="00221EEC" w:rsidP="00221EEC">
            <w:pPr>
              <w:spacing w:after="0" w:line="240" w:lineRule="auto"/>
              <w:ind w:left="-62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Пролен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07124E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>шовный (6/0) длина 75см, режущая игла 16мм Prime W8005T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F90FE9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D049E3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21EEC" w:rsidRPr="002506D7" w:rsidRDefault="00221EEC" w:rsidP="00221EEC">
            <w:pPr>
              <w:spacing w:after="0" w:line="240" w:lineRule="auto"/>
              <w:ind w:left="-62"/>
              <w:rPr>
                <w:rFonts w:ascii="Times New Roman" w:hAnsi="Times New Roman"/>
                <w:sz w:val="20"/>
                <w:lang w:val="kk-KZ"/>
              </w:rPr>
            </w:pPr>
            <w:r w:rsidRPr="002506D7">
              <w:rPr>
                <w:rFonts w:ascii="Times New Roman" w:hAnsi="Times New Roman"/>
                <w:sz w:val="20"/>
              </w:rPr>
              <w:t>Набор камертонов в пластиковом кейсе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21EEC" w:rsidRPr="002506D7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2506D7">
              <w:rPr>
                <w:rFonts w:ascii="Times New Roman" w:hAnsi="Times New Roman"/>
                <w:sz w:val="20"/>
              </w:rPr>
              <w:t>ля проверки слуха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, из алюминий 128, 256, 512, 1024, 2048 Гц </w:t>
            </w:r>
            <w:r w:rsidRPr="002506D7">
              <w:rPr>
                <w:rFonts w:ascii="Times New Roman" w:hAnsi="Times New Roman"/>
                <w:sz w:val="20"/>
              </w:rPr>
              <w:t>с фиксированными демпферами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21EEC" w:rsidRPr="002506D7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21EEC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1EEC" w:rsidRPr="002506D7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569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07124E" w:rsidRDefault="00221EEC" w:rsidP="00221EEC">
            <w:pPr>
              <w:spacing w:after="0" w:line="240" w:lineRule="auto"/>
              <w:ind w:left="-62"/>
              <w:rPr>
                <w:rFonts w:ascii="Times New Roman" w:hAnsi="Times New Roman"/>
                <w:sz w:val="20"/>
              </w:rPr>
            </w:pPr>
            <w:r w:rsidRPr="002506D7">
              <w:rPr>
                <w:rFonts w:ascii="Times New Roman" w:hAnsi="Times New Roman"/>
                <w:sz w:val="20"/>
              </w:rPr>
              <w:t>Аспиратор-ирригатор для лапароскопии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07124E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0BF3">
              <w:rPr>
                <w:rFonts w:ascii="Times New Roman" w:hAnsi="Times New Roman"/>
                <w:sz w:val="20"/>
              </w:rPr>
              <w:t>для промывания физиологическим раствором внутренних полостей пациента при различных лапароскопических вмешательствах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940BF3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420DA9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EEC" w:rsidRPr="00ED7820" w:rsidTr="00221EEC">
        <w:trPr>
          <w:trHeight w:val="253"/>
        </w:trPr>
        <w:tc>
          <w:tcPr>
            <w:tcW w:w="506" w:type="dxa"/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6 660 435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21EEC" w:rsidRPr="00ED7820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Ценовые предложения представили следующие потенциальные поставщики.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495"/>
        <w:gridCol w:w="3685"/>
        <w:gridCol w:w="1110"/>
        <w:gridCol w:w="765"/>
        <w:gridCol w:w="1154"/>
        <w:gridCol w:w="1224"/>
      </w:tblGrid>
      <w:tr w:rsidR="00987EF9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61C5A" w:rsidRPr="0049191C" w:rsidTr="00221EEC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1C5A" w:rsidRPr="00661C5A" w:rsidRDefault="00221EEC" w:rsidP="00221EE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09.06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221EEC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9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EC" w:rsidRPr="00F40565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221EEC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EC" w:rsidRPr="00F40565" w:rsidRDefault="00221EEC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221EEC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3/4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FD3EDF" w:rsidRDefault="00221EEC" w:rsidP="0022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EEC" w:rsidRPr="009302D8" w:rsidRDefault="009302D8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302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1 500</w:t>
            </w:r>
            <w:r w:rsidRPr="009302D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EC" w:rsidRPr="009302D8" w:rsidRDefault="009302D8" w:rsidP="00221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 w:rsidRPr="009302D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="00221EEC" w:rsidRPr="009302D8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16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40565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желтый для класса Б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40565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15447A" w:rsidRPr="0049191C" w:rsidTr="0015447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 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FD3EDF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F40565" w:rsidRDefault="0015447A" w:rsidP="00154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15447A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3B59E6" w:rsidRDefault="0015447A" w:rsidP="0015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3B59E6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47A" w:rsidRPr="003B59E6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3B59E6" w:rsidRDefault="00FA66C2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7A" w:rsidRPr="003B59E6" w:rsidRDefault="0015447A" w:rsidP="0015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A" w:rsidRPr="002F71AF" w:rsidRDefault="009302D8" w:rsidP="009302D8">
            <w:pPr>
              <w:spacing w:after="0" w:line="240" w:lineRule="auto"/>
              <w:ind w:left="-163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3 089 7</w:t>
            </w:r>
            <w:r w:rsid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15447A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15447A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15447A" w:rsidRPr="0049191C" w:rsidTr="00E47D2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447A" w:rsidRPr="00D20493" w:rsidRDefault="0015447A" w:rsidP="00FA66C2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«Казахская фармацевтическая компания 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«МЕДСЕРВИС ПЛЮС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Актобе, 41 разъезд, 249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09.06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FA66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FA66C2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A66C2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16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085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A66C2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A66C2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3B59E6" w:rsidRDefault="00FA66C2" w:rsidP="00FA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40AE4" w:rsidRDefault="00FA66C2" w:rsidP="00FA66C2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2 105 000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FA66C2" w:rsidRPr="0049191C" w:rsidTr="0015447A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66C2" w:rsidRPr="0015447A" w:rsidRDefault="00FA66C2" w:rsidP="00FA66C2">
            <w:pPr>
              <w:pStyle w:val="a6"/>
              <w:numPr>
                <w:ilvl w:val="0"/>
                <w:numId w:val="29"/>
              </w:numPr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«Фармация», Республика Казахстан, город Актобе, пр.312 стрелковой дивизии, 8,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09.06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FA66C2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0" w:right="-9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40565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FA66C2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40565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A66C2" w:rsidRPr="0049191C" w:rsidTr="00FA66C2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3/4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66C2" w:rsidRPr="00FA66C2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6C2">
              <w:rPr>
                <w:rFonts w:ascii="Times New Roman" w:hAnsi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6C2" w:rsidRPr="00FA66C2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 w:rsidRPr="00FA66C2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36 000,00</w:t>
            </w:r>
          </w:p>
        </w:tc>
      </w:tr>
      <w:tr w:rsidR="00FA66C2" w:rsidRPr="0049191C" w:rsidTr="00FA66C2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желтый для класса Б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40565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A66C2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 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40565" w:rsidRDefault="00FA66C2" w:rsidP="00FA6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A66C2" w:rsidRPr="0049191C" w:rsidTr="00FA66C2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ind w:left="-60" w:right="-1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FD3EDF" w:rsidRDefault="00FA66C2" w:rsidP="00FA6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11 400,00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Default="00FA66C2" w:rsidP="00FA66C2">
            <w:pPr>
              <w:spacing w:after="0" w:line="240" w:lineRule="auto"/>
              <w:ind w:left="-155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FA66C2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3B59E6" w:rsidRDefault="00FA66C2" w:rsidP="00FA6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C2" w:rsidRPr="003B59E6" w:rsidRDefault="00FA66C2" w:rsidP="00FA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2" w:rsidRPr="00F40AE4" w:rsidRDefault="00E052DB" w:rsidP="00FA66C2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1 958</w:t>
            </w:r>
            <w:r w:rsidR="00FA66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000</w:t>
            </w:r>
            <w:r w:rsidR="00FA66C2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052DB" w:rsidRPr="0049191C" w:rsidTr="00E052DB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52DB" w:rsidRPr="00E052DB" w:rsidRDefault="00E052DB" w:rsidP="00E052DB">
            <w:pPr>
              <w:pStyle w:val="a6"/>
              <w:numPr>
                <w:ilvl w:val="0"/>
                <w:numId w:val="29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 «А-Медика»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Республика Казахстан, город 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Абилкайырхана, дом 58, кв. 64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д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09.06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17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E052DB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ind w:left="-60" w:right="-9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9E75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E7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8114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DB" w:rsidRPr="00F40565" w:rsidRDefault="00E052DB" w:rsidP="00E052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E052DB" w:rsidRPr="0049191C" w:rsidTr="00E052DB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реакции микропреципитации,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27 400,00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DB" w:rsidRPr="00FD3EDF" w:rsidRDefault="00E052DB" w:rsidP="00E052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274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E052DB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желтый для класса Б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DB" w:rsidRPr="00F40565" w:rsidRDefault="00E052DB" w:rsidP="00E052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E052DB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 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DB" w:rsidRPr="00F40565" w:rsidRDefault="00E052DB" w:rsidP="00E052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E052DB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ind w:left="-60" w:right="-1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FD3EDF" w:rsidRDefault="00811463" w:rsidP="009302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="009302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9302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="00E052D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DB" w:rsidRDefault="00E052DB" w:rsidP="009302D8">
            <w:pPr>
              <w:spacing w:after="0" w:line="240" w:lineRule="auto"/>
              <w:ind w:left="-155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 w:rsidR="009302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E052DB" w:rsidRPr="0049191C" w:rsidTr="009302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3B59E6" w:rsidRDefault="00E052DB" w:rsidP="00E052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3B59E6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3B59E6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3B59E6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DB" w:rsidRPr="003B59E6" w:rsidRDefault="00E052DB" w:rsidP="00E0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DB" w:rsidRPr="00F40AE4" w:rsidRDefault="009302D8" w:rsidP="00E052DB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1 802</w:t>
            </w:r>
            <w:r w:rsid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000</w:t>
            </w:r>
            <w:r w:rsidR="00E052DB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065C41" w:rsidRPr="00065C41" w:rsidRDefault="00065C41" w:rsidP="00065C41">
      <w:pPr>
        <w:pStyle w:val="a6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</w:rPr>
      </w:pPr>
      <w:r w:rsidRPr="00065C41">
        <w:rPr>
          <w:rFonts w:ascii="Times New Roman" w:hAnsi="Times New Roman" w:cs="Times New Roman"/>
          <w:sz w:val="24"/>
        </w:rPr>
        <w:t>Отклоненные ценовые предложения потенциальных поставщиков – не было;</w:t>
      </w:r>
    </w:p>
    <w:p w:rsidR="00DD2AF0" w:rsidRPr="003602FB" w:rsidRDefault="00DD2AF0" w:rsidP="00DD2AF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9E758B" w:rsidRPr="009E758B" w:rsidRDefault="009E758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E758B" w:rsidRDefault="009E758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«Казахская фармацевтическая компания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«МЕДСЕРВИС ПЛЮС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Актобе, 41 разъезд, 249</w:t>
      </w:r>
      <w:r w:rsidR="002077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Default="009E758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«Фармация», город Актобе, пр.312 стрелковой дивизии,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9E758B" w:rsidRPr="00E47D20" w:rsidRDefault="009E758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 «А-Медика»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Абилкайырхана, дом 58, кв. 64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E758B" w:rsidRPr="0079314A" w:rsidRDefault="009E758B" w:rsidP="009E758B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9E758B" w:rsidRPr="00205324" w:rsidRDefault="009E758B" w:rsidP="009E758B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2, 3, 10, 16, 17, 18, 19, 21, 22, 23, 24, 25, 26, 27, 28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9E758B" w:rsidRPr="00C9365C" w:rsidRDefault="009E758B" w:rsidP="009E758B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9E758B" w:rsidRPr="002F58C8" w:rsidRDefault="009E758B" w:rsidP="009E758B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302D8">
        <w:rPr>
          <w:rFonts w:ascii="Times New Roman" w:hAnsi="Times New Roman" w:cs="Times New Roman"/>
          <w:color w:val="000000"/>
          <w:sz w:val="24"/>
          <w:szCs w:val="24"/>
          <w:lang w:val="kk-KZ"/>
        </w:rPr>
        <w:t>, 6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«Фармация», город Актобе, пр.312 стрелковой дивизии,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E758B" w:rsidRPr="009E758B" w:rsidRDefault="009E758B" w:rsidP="009E758B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4, </w:t>
      </w:r>
      <w:r w:rsidR="00207710">
        <w:rPr>
          <w:rFonts w:ascii="Times New Roman" w:hAnsi="Times New Roman" w:cs="Times New Roman"/>
          <w:color w:val="000000"/>
          <w:sz w:val="24"/>
          <w:szCs w:val="24"/>
        </w:rPr>
        <w:t>14, 15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ТОО «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E758B" w:rsidRPr="002F58C8" w:rsidRDefault="009E758B" w:rsidP="009E758B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20771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71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 «А-Медика»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Абилкайырхана, дом 58, кв. 64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E758B" w:rsidRPr="0094018D" w:rsidRDefault="009E758B" w:rsidP="0020771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207710">
        <w:rPr>
          <w:rFonts w:ascii="Times New Roman" w:hAnsi="Times New Roman" w:cs="Times New Roman"/>
          <w:color w:val="000000"/>
          <w:sz w:val="24"/>
          <w:szCs w:val="24"/>
          <w:lang w:val="kk-KZ"/>
        </w:rPr>
        <w:t>7, 8, 9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7710" w:rsidRPr="00207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«Казахская фармацевтическая компания </w:t>
      </w:r>
      <w:r w:rsidR="00207710" w:rsidRPr="002077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«МЕДСЕРВИС ПЛЮС</w:t>
      </w:r>
      <w:r w:rsidR="00207710" w:rsidRPr="00207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207710" w:rsidRPr="002077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Актобе, 41 разъезд, 249</w:t>
      </w:r>
      <w:r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7D5015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02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987EF9" w:rsidRPr="00207710" w:rsidRDefault="00207710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лоту</w:t>
      </w:r>
      <w:r w:rsidR="0094018D"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7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4018D"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94018D"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758B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 «А-Медика»</w:t>
      </w:r>
      <w:r w:rsidR="009E758B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r w:rsidR="009E758B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9E758B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9E758B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="009E758B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E758B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Абилкайырхана, дом 58, кв. 64;</w:t>
      </w:r>
    </w:p>
    <w:p w:rsidR="00207710" w:rsidRPr="004271DE" w:rsidRDefault="00207710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11, 12, 13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ТОО «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ED5E19" w:rsidRDefault="00207710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«Уилская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интернет-ресурсе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ГКП "Уилская районная больница"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83" w:rsidRDefault="00681E83" w:rsidP="00811463">
      <w:pPr>
        <w:spacing w:after="0" w:line="240" w:lineRule="auto"/>
      </w:pPr>
      <w:r>
        <w:separator/>
      </w:r>
    </w:p>
  </w:endnote>
  <w:endnote w:type="continuationSeparator" w:id="0">
    <w:p w:rsidR="00681E83" w:rsidRDefault="00681E83" w:rsidP="0081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83" w:rsidRDefault="00681E83" w:rsidP="00811463">
      <w:pPr>
        <w:spacing w:after="0" w:line="240" w:lineRule="auto"/>
      </w:pPr>
      <w:r>
        <w:separator/>
      </w:r>
    </w:p>
  </w:footnote>
  <w:footnote w:type="continuationSeparator" w:id="0">
    <w:p w:rsidR="00681E83" w:rsidRDefault="00681E83" w:rsidP="00811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9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6"/>
  </w:num>
  <w:num w:numId="4">
    <w:abstractNumId w:val="21"/>
  </w:num>
  <w:num w:numId="5">
    <w:abstractNumId w:val="35"/>
  </w:num>
  <w:num w:numId="6">
    <w:abstractNumId w:val="40"/>
  </w:num>
  <w:num w:numId="7">
    <w:abstractNumId w:val="22"/>
  </w:num>
  <w:num w:numId="8">
    <w:abstractNumId w:val="18"/>
  </w:num>
  <w:num w:numId="9">
    <w:abstractNumId w:val="31"/>
  </w:num>
  <w:num w:numId="10">
    <w:abstractNumId w:val="3"/>
  </w:num>
  <w:num w:numId="11">
    <w:abstractNumId w:val="7"/>
  </w:num>
  <w:num w:numId="12">
    <w:abstractNumId w:val="9"/>
  </w:num>
  <w:num w:numId="13">
    <w:abstractNumId w:val="38"/>
  </w:num>
  <w:num w:numId="14">
    <w:abstractNumId w:val="0"/>
  </w:num>
  <w:num w:numId="15">
    <w:abstractNumId w:val="29"/>
  </w:num>
  <w:num w:numId="16">
    <w:abstractNumId w:val="4"/>
  </w:num>
  <w:num w:numId="17">
    <w:abstractNumId w:val="15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9"/>
  </w:num>
  <w:num w:numId="24">
    <w:abstractNumId w:val="11"/>
  </w:num>
  <w:num w:numId="25">
    <w:abstractNumId w:val="24"/>
  </w:num>
  <w:num w:numId="26">
    <w:abstractNumId w:val="20"/>
  </w:num>
  <w:num w:numId="27">
    <w:abstractNumId w:val="23"/>
  </w:num>
  <w:num w:numId="28">
    <w:abstractNumId w:val="16"/>
  </w:num>
  <w:num w:numId="29">
    <w:abstractNumId w:val="34"/>
  </w:num>
  <w:num w:numId="30">
    <w:abstractNumId w:val="33"/>
  </w:num>
  <w:num w:numId="31">
    <w:abstractNumId w:val="27"/>
  </w:num>
  <w:num w:numId="32">
    <w:abstractNumId w:val="42"/>
  </w:num>
  <w:num w:numId="33">
    <w:abstractNumId w:val="28"/>
  </w:num>
  <w:num w:numId="34">
    <w:abstractNumId w:val="13"/>
  </w:num>
  <w:num w:numId="35">
    <w:abstractNumId w:val="26"/>
  </w:num>
  <w:num w:numId="36">
    <w:abstractNumId w:val="17"/>
  </w:num>
  <w:num w:numId="37">
    <w:abstractNumId w:val="37"/>
  </w:num>
  <w:num w:numId="38">
    <w:abstractNumId w:val="25"/>
  </w:num>
  <w:num w:numId="39">
    <w:abstractNumId w:val="5"/>
  </w:num>
  <w:num w:numId="40">
    <w:abstractNumId w:val="19"/>
  </w:num>
  <w:num w:numId="41">
    <w:abstractNumId w:val="32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2C0E"/>
    <w:rsid w:val="00034AFA"/>
    <w:rsid w:val="00041DBB"/>
    <w:rsid w:val="0004606F"/>
    <w:rsid w:val="00055710"/>
    <w:rsid w:val="00065088"/>
    <w:rsid w:val="00065C41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7D3C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5400F"/>
    <w:rsid w:val="0015447A"/>
    <w:rsid w:val="00160F67"/>
    <w:rsid w:val="001711A1"/>
    <w:rsid w:val="0018761D"/>
    <w:rsid w:val="0019218F"/>
    <w:rsid w:val="001A510A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07710"/>
    <w:rsid w:val="00220695"/>
    <w:rsid w:val="00221EEC"/>
    <w:rsid w:val="00234F36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F4E8E"/>
    <w:rsid w:val="002F58C8"/>
    <w:rsid w:val="002F71AF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5D15"/>
    <w:rsid w:val="0037571A"/>
    <w:rsid w:val="003941A9"/>
    <w:rsid w:val="0039780C"/>
    <w:rsid w:val="003B5AAD"/>
    <w:rsid w:val="003C38D6"/>
    <w:rsid w:val="003D14B8"/>
    <w:rsid w:val="003D153C"/>
    <w:rsid w:val="003D6F4F"/>
    <w:rsid w:val="003E42E8"/>
    <w:rsid w:val="003F26E5"/>
    <w:rsid w:val="0040091F"/>
    <w:rsid w:val="00404119"/>
    <w:rsid w:val="0040481E"/>
    <w:rsid w:val="00410E69"/>
    <w:rsid w:val="00411A7D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90062"/>
    <w:rsid w:val="004A33F2"/>
    <w:rsid w:val="004A5CBF"/>
    <w:rsid w:val="004A6AC5"/>
    <w:rsid w:val="004C58CC"/>
    <w:rsid w:val="004F3703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5931"/>
    <w:rsid w:val="005F3DBA"/>
    <w:rsid w:val="005F7511"/>
    <w:rsid w:val="0061571C"/>
    <w:rsid w:val="006226E9"/>
    <w:rsid w:val="00624F72"/>
    <w:rsid w:val="006514E6"/>
    <w:rsid w:val="00661C5A"/>
    <w:rsid w:val="0066657B"/>
    <w:rsid w:val="00670CFE"/>
    <w:rsid w:val="00672EF2"/>
    <w:rsid w:val="00676B3D"/>
    <w:rsid w:val="00681E83"/>
    <w:rsid w:val="00694465"/>
    <w:rsid w:val="00695D08"/>
    <w:rsid w:val="006A258E"/>
    <w:rsid w:val="006A33A2"/>
    <w:rsid w:val="006B4336"/>
    <w:rsid w:val="006B4A64"/>
    <w:rsid w:val="006C2438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C046E"/>
    <w:rsid w:val="007D5015"/>
    <w:rsid w:val="007E0228"/>
    <w:rsid w:val="00807885"/>
    <w:rsid w:val="0081058F"/>
    <w:rsid w:val="00811463"/>
    <w:rsid w:val="00813F8C"/>
    <w:rsid w:val="0082006C"/>
    <w:rsid w:val="00820929"/>
    <w:rsid w:val="0082653D"/>
    <w:rsid w:val="00831024"/>
    <w:rsid w:val="00834A19"/>
    <w:rsid w:val="00840528"/>
    <w:rsid w:val="00860A55"/>
    <w:rsid w:val="00862794"/>
    <w:rsid w:val="0086697E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00725"/>
    <w:rsid w:val="00920708"/>
    <w:rsid w:val="00920B94"/>
    <w:rsid w:val="00923385"/>
    <w:rsid w:val="00924CF1"/>
    <w:rsid w:val="009302D8"/>
    <w:rsid w:val="0094018D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9E758B"/>
    <w:rsid w:val="00A10D21"/>
    <w:rsid w:val="00A13018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4EA3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875F3"/>
    <w:rsid w:val="00B92968"/>
    <w:rsid w:val="00B9414A"/>
    <w:rsid w:val="00BC2EA0"/>
    <w:rsid w:val="00BD0686"/>
    <w:rsid w:val="00BD24B8"/>
    <w:rsid w:val="00BE34EE"/>
    <w:rsid w:val="00BE43C4"/>
    <w:rsid w:val="00BF3F1E"/>
    <w:rsid w:val="00BF664A"/>
    <w:rsid w:val="00BF676B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06FF6"/>
    <w:rsid w:val="00D140BD"/>
    <w:rsid w:val="00D167F3"/>
    <w:rsid w:val="00D1728F"/>
    <w:rsid w:val="00D20493"/>
    <w:rsid w:val="00D3669D"/>
    <w:rsid w:val="00D36BAF"/>
    <w:rsid w:val="00D41EA8"/>
    <w:rsid w:val="00D529CD"/>
    <w:rsid w:val="00D63036"/>
    <w:rsid w:val="00D71993"/>
    <w:rsid w:val="00D7310B"/>
    <w:rsid w:val="00D73B3C"/>
    <w:rsid w:val="00D75FF5"/>
    <w:rsid w:val="00D775C8"/>
    <w:rsid w:val="00D82BCC"/>
    <w:rsid w:val="00DA71DA"/>
    <w:rsid w:val="00DC6A6F"/>
    <w:rsid w:val="00DC716D"/>
    <w:rsid w:val="00DD2AF0"/>
    <w:rsid w:val="00DE16E6"/>
    <w:rsid w:val="00DE172C"/>
    <w:rsid w:val="00DF7FBD"/>
    <w:rsid w:val="00E052DB"/>
    <w:rsid w:val="00E07A6F"/>
    <w:rsid w:val="00E33B6A"/>
    <w:rsid w:val="00E36AA0"/>
    <w:rsid w:val="00E43BBA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C2F2E"/>
    <w:rsid w:val="00ED2889"/>
    <w:rsid w:val="00ED72D4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FE1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A66C2"/>
    <w:rsid w:val="00FB35A1"/>
    <w:rsid w:val="00FB66B0"/>
    <w:rsid w:val="00FB7DD4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37D8"/>
  <w15:docId w15:val="{58547748-4BC2-4301-B3B7-6E3D7BD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114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1463"/>
  </w:style>
  <w:style w:type="paragraph" w:styleId="af">
    <w:name w:val="footer"/>
    <w:basedOn w:val="a"/>
    <w:link w:val="af0"/>
    <w:uiPriority w:val="99"/>
    <w:unhideWhenUsed/>
    <w:rsid w:val="008114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AC128-42A0-48AB-AECF-68620A0E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</cp:revision>
  <cp:lastPrinted>2021-03-18T05:00:00Z</cp:lastPrinted>
  <dcterms:created xsi:type="dcterms:W3CDTF">2022-04-08T11:02:00Z</dcterms:created>
  <dcterms:modified xsi:type="dcterms:W3CDTF">2022-06-20T04:59:00Z</dcterms:modified>
</cp:coreProperties>
</file>